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rtl w:val="0"/>
        </w:rPr>
        <w:t xml:space="preserve">Regulamin akcji „WROśnij we WROcław” 2025 - za</w:t>
      </w:r>
      <w:r w:rsidDel="00000000" w:rsidR="00000000" w:rsidRPr="00000000">
        <w:rPr>
          <w:vertAlign w:val="baseline"/>
          <w:rtl w:val="0"/>
        </w:rPr>
        <w:t xml:space="preserve">sady ogólne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Niniejszym określa się warunki i zasady, na jakich realizowana jest akcja „WROśnij we WROcław”, zwana dalej „Akcją”.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tabs>
          <w:tab w:val="left" w:leader="none" w:pos="759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Organizatorem Akcji jest Gmina Wrocław: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tabs>
          <w:tab w:val="left" w:leader="none" w:pos="760"/>
          <w:tab w:val="left" w:leader="none" w:pos="1059"/>
        </w:tabs>
        <w:ind w:left="760" w:hanging="720"/>
      </w:pPr>
      <w:r w:rsidDel="00000000" w:rsidR="00000000" w:rsidRPr="00000000">
        <w:rPr>
          <w:vertAlign w:val="baseline"/>
          <w:rtl w:val="0"/>
        </w:rPr>
        <w:t xml:space="preserve">Zarząd Zieleni Miejskiej we Wrocławiu (ZZM) w zakresie zakupu sadzonek, nasadzeń,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sporządzenia grafik informacyjnych,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tabs>
          <w:tab w:val="left" w:leader="none" w:pos="1045"/>
          <w:tab w:val="left" w:leader="none" w:pos="1479"/>
        </w:tabs>
        <w:ind w:left="760" w:hanging="720"/>
      </w:pPr>
      <w:r w:rsidDel="00000000" w:rsidR="00000000" w:rsidRPr="00000000">
        <w:rPr>
          <w:vertAlign w:val="baseline"/>
          <w:rtl w:val="0"/>
        </w:rPr>
        <w:t xml:space="preserve">Wrocławskie Centrum Rozwoju Społecznego (WCRS) w zakresie organizacji wydarzenia, zapisów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vertAlign w:val="baseline"/>
          <w:rtl w:val="0"/>
        </w:rPr>
        <w:t xml:space="preserve">i kontaktu z mieszkańcami.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Głównym celem Akcji jest upamiętnienie narodzin najmłodszych mieszkańców Wrocławia przez posadzenie przez uczestników akcji drzew.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Celem Akcji jest również propagowanie odpowiedzialności i troski o otaczającą nas przyrodę, kształtowanie postaw proekologicznych wśród mieszkańców Wrocławia oraz umacnianie więzi rodzinnych i rozwoju społeczności lokalnej, a także zwiększanie powierzchni terenów zieleni w mieście i ich powiązań przyrodniczych.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2"/>
        </w:numPr>
        <w:tabs>
          <w:tab w:val="left" w:leader="none" w:pos="892"/>
        </w:tabs>
        <w:ind w:left="505" w:hanging="165"/>
      </w:pPr>
      <w:r w:rsidDel="00000000" w:rsidR="00000000" w:rsidRPr="00000000">
        <w:rPr>
          <w:rtl w:val="0"/>
        </w:rPr>
        <w:t xml:space="preserve">Ogólne warunki Akcji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tabs>
          <w:tab w:val="left" w:leader="none" w:pos="758"/>
        </w:tabs>
        <w:ind w:left="760" w:hanging="420"/>
      </w:pPr>
      <w:r w:rsidDel="00000000" w:rsidR="00000000" w:rsidRPr="00000000">
        <w:rPr>
          <w:rtl w:val="0"/>
        </w:rPr>
        <w:t xml:space="preserve">Wiosenna </w:t>
      </w:r>
      <w:r w:rsidDel="00000000" w:rsidR="00000000" w:rsidRPr="00000000">
        <w:rPr>
          <w:vertAlign w:val="baseline"/>
          <w:rtl w:val="0"/>
        </w:rPr>
        <w:t xml:space="preserve">edycja Akcji odbędzie się </w:t>
      </w:r>
      <w:r w:rsidDel="00000000" w:rsidR="00000000" w:rsidRPr="00000000">
        <w:rPr>
          <w:rtl w:val="0"/>
        </w:rPr>
        <w:t xml:space="preserve">5 kwietnia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Do Akcji może przystąpić każdy pełnoletni mieszkaniec miasta Wrocław, który w stosownym oświadczeniu wykaże fakt narodzin dziecka w bieżącym roku kalendarzowym lub w poprzedzającym rok, w którym prowadzona jest Akcja. Zgłosić dziecko może wyłącznie jego rodzic lub opiekun prawny.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tabs>
          <w:tab w:val="left" w:leader="none" w:pos="758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Akcja jest bezpłatna.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Osoby zainteresowane przystąpieniem do Akcji wypełniają formularz zgłoszeniowy dostępny na stronie internetowej </w:t>
      </w:r>
      <w:hyperlink r:id="rId7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www.wcrs.pl/wrosnij.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Liczba miejsc jest ograniczona i wynika z liczby drzew możliwych do posadzenia w danej edycji. Wszystkie informacje znajdują się na stronie </w:t>
      </w:r>
      <w:hyperlink r:id="rId8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www.wcrs.pl/wrosnij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Po wyczerpaniu miejsc zgłoszenia wchodzą na listę rezerwową – 15% miejsc ogólnie dostępnych w danej edycji (liczy się kolejność zgłoszeń). Po ich wyczerpaniu formularz zostaje zamknięty, aż do ponownego uruchomienia w kolejnej edycji.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leader="none" w:pos="758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Po zamknięciu formularza zgłoszeniowego zgłoszenia zostaną zweryfikowane na zasadach określonych przez Organizatora uwidocznionych na stronie internetowej: </w:t>
      </w:r>
      <w:hyperlink r:id="rId9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www.wcrs.pl/wrosnij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Wycofanie zgody na przetwarzanie danych osobowych rozumiane jest jako rezygnacja z udziału w Akcji.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tabs>
          <w:tab w:val="left" w:leader="none" w:pos="759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Każdy zarejestrowany uczestnik Akcji może zrezygnować z udziału w niej w dowolnym momencie.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tabs>
          <w:tab w:val="left" w:leader="none" w:pos="757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Formularz pozostawia możliwość rezygnacji nie później niż tydzień przed datą Akcji.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Uczestnicy z listy rezerwowej wchodzą na miejsce negatywnie zweryfikowanych zgłoszeń lub na miejsce zwolnione po rezygnacji uczestnika w kolejności zgłoszeń.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Formularz zgłoszeniowy będzie dostępny na stronie internetowej Organizatora (WCRS) od dnia </w:t>
      </w:r>
      <w:r w:rsidDel="00000000" w:rsidR="00000000" w:rsidRPr="00000000">
        <w:rPr>
          <w:rtl w:val="0"/>
        </w:rPr>
        <w:t xml:space="preserve">19 marca 2025 </w:t>
      </w:r>
      <w:r w:rsidDel="00000000" w:rsidR="00000000" w:rsidRPr="00000000">
        <w:rPr>
          <w:vertAlign w:val="baseline"/>
          <w:rtl w:val="0"/>
        </w:rPr>
        <w:t xml:space="preserve"> r. do wyczerpania limitu miejsc.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tabs>
          <w:tab w:val="left" w:leader="none" w:pos="757"/>
        </w:tabs>
        <w:ind w:left="760" w:hanging="420"/>
        <w:sectPr>
          <w:pgSz w:h="15840" w:w="12240" w:orient="portrait"/>
          <w:pgMar w:bottom="280" w:top="1340" w:left="1080" w:right="1080" w:header="360" w:footer="360"/>
          <w:pgNumType w:start="1"/>
        </w:sectPr>
      </w:pPr>
      <w:r w:rsidDel="00000000" w:rsidR="00000000" w:rsidRPr="00000000">
        <w:rPr>
          <w:vertAlign w:val="baseline"/>
          <w:rtl w:val="0"/>
        </w:rPr>
        <w:t xml:space="preserve">Każdemu dziecku można dedykować jedno drzewo.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Informacja na temat daty i miejsca sadzenia drzew jest dostępna na stronie internetowej Organizatora (WCRS).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 (ZZM) zastrzega, iż data sadzenia drzew może ulec zmianie z uwagi na niesprzyjające warunki atmosferyczne, o czym informacja zostanie umieszczona na stronie internetowej Organizatora (WCRS). Podane terminy mają charakter orientacyjny.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 (ZZM) zobowiązuje się do utrzymania i ewentualnej wymiany sadzonek w przypadku ich obumarcia w pierwszym roku od posadzenia.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leader="none" w:pos="757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Za przygotowanie terenu do przeprowadzenia Akcji odpowiada Zarząd Zieleni Miejskiej we Wrocławiu.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Uczestnik Akcji dba o swoje drzewo, niezależnie od obowiązków organizatora, co ma zwiększyć szansę drzew na zdrowy wzrost. Instrukcja opieki nad drzewami dostępna będzie w formie elektronicznej na stronie internetowej Organizatora (WCRS).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Akcja odbywa się na terenie będącym własnością Gminy Wrocław we wskazanym na stronie internetowej Organizatora (WCRS) oraz w publikowanych przez niego komunikatach prasowych i postach na portalach społecznościowych.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Drzewa będą sadzone zgodnie z projektem i planem nasadzeń przygotowanym przez Organizatora (ZZM).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leader="none" w:pos="757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Uczestnik Akcji odpowiedzialny jest za zarezerwowanie sadzonki przez formularz zgłoszeniowy.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tabs>
          <w:tab w:val="left" w:leader="none" w:pos="757"/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W przypadku niestawienia się Uczestnika na wytyczony termin nasadzenia, drzewo przekazane jest dla Uczestnika, który dodatkowo pojawi się na miejscu wydarzenia.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2"/>
        </w:numPr>
        <w:tabs>
          <w:tab w:val="left" w:leader="none" w:pos="1014"/>
        </w:tabs>
        <w:ind w:left="505" w:hanging="165"/>
      </w:pPr>
      <w:r w:rsidDel="00000000" w:rsidR="00000000" w:rsidRPr="00000000">
        <w:rPr>
          <w:rtl w:val="0"/>
        </w:rPr>
        <w:t xml:space="preserve">Postanowienia końcowe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tabs>
          <w:tab w:val="left" w:leader="none" w:pos="759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Zasady Akcji dostępne są na stronie internetowej Organizatora (WCRS).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 (WCRS) zastrzega sobie prawo do ewentualnych zmian ww. zasad. O zmianach Organizator (WCRS) poinformuje na swojej stronie internetowej.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Ewentualne wątpliwości powstałe w trakcie obowiązywania niniejszych Zasad Akcji rozstrzyga Organizator (WCRS, ZZM).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 (WCRS, ZZM) nie odpowiada za zniszczenia roślin z przyczyn od niego niezależnych, takich jak zniszczenia przez zwierzynę, wichury, zalania, wandalizm itp.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tabs>
          <w:tab w:val="left" w:leader="none" w:pos="759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 (WCRS, ZZM) zastrzega sobie prawo do przełożenia terminu Akcji.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Organizator (WCRS, ZZM) nie pokrywa kosztów związanych z dojazdem oraz innych dodatkowych kosztów związanych z uczestnictwem w Akcji.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tabs>
          <w:tab w:val="left" w:leader="none" w:pos="759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Każdy uczestnik wraz z przystąpieniem do Akcji akceptuje warunki niniejszych Zasad.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tabs>
          <w:tab w:val="left" w:leader="none" w:pos="760"/>
        </w:tabs>
        <w:ind w:left="760" w:hanging="420"/>
      </w:pPr>
      <w:r w:rsidDel="00000000" w:rsidR="00000000" w:rsidRPr="00000000">
        <w:rPr>
          <w:vertAlign w:val="baseline"/>
          <w:rtl w:val="0"/>
        </w:rPr>
        <w:t xml:space="preserve">Wszelkie pytania i uwagi można kierować na oficjalny i dedykowany Akcji adres mailowy Organizatora: </w:t>
      </w:r>
      <w:hyperlink r:id="rId10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wrosnij@wcrs.pl.</w:t>
        </w:r>
      </w:hyperlink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40" w:left="1080" w:right="10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760" w:hanging="720"/>
      </w:pPr>
      <w:rPr>
        <w:u w:val="none"/>
      </w:rPr>
    </w:lvl>
    <w:lvl w:ilvl="1">
      <w:start w:val="2"/>
      <w:numFmt w:val="decimal"/>
      <w:lvlText w:val="%1.%2"/>
      <w:lvlJc w:val="left"/>
      <w:pPr>
        <w:ind w:left="760" w:hanging="720"/>
      </w:pPr>
      <w:rPr>
        <w:u w:val="none"/>
      </w:rPr>
    </w:lvl>
    <w:lvl w:ilvl="2">
      <w:start w:val="1"/>
      <w:numFmt w:val="lowerLetter"/>
      <w:lvlText w:val="%1.%2.%3."/>
      <w:lvlJc w:val="left"/>
      <w:pPr>
        <w:ind w:left="760" w:hanging="720"/>
      </w:pPr>
      <w:rPr>
        <w:u w:val="none"/>
      </w:rPr>
    </w:lvl>
    <w:lvl w:ilvl="3">
      <w:start w:val="0"/>
      <w:numFmt w:val="bullet"/>
      <w:lvlText w:val="•"/>
      <w:lvlJc w:val="left"/>
      <w:pPr>
        <w:ind w:left="3556" w:hanging="720"/>
      </w:pPr>
      <w:rPr>
        <w:u w:val="none"/>
      </w:rPr>
    </w:lvl>
    <w:lvl w:ilvl="4">
      <w:start w:val="0"/>
      <w:numFmt w:val="bullet"/>
      <w:lvlText w:val="•"/>
      <w:lvlJc w:val="left"/>
      <w:pPr>
        <w:ind w:left="4488" w:hanging="720"/>
      </w:pPr>
      <w:rPr>
        <w:u w:val="none"/>
      </w:rPr>
    </w:lvl>
    <w:lvl w:ilvl="5">
      <w:start w:val="0"/>
      <w:numFmt w:val="bullet"/>
      <w:lvlText w:val="•"/>
      <w:lvlJc w:val="left"/>
      <w:pPr>
        <w:ind w:left="5420" w:hanging="720"/>
      </w:pPr>
      <w:rPr>
        <w:u w:val="none"/>
      </w:rPr>
    </w:lvl>
    <w:lvl w:ilvl="6">
      <w:start w:val="0"/>
      <w:numFmt w:val="bullet"/>
      <w:lvlText w:val="•"/>
      <w:lvlJc w:val="left"/>
      <w:pPr>
        <w:ind w:left="6352" w:hanging="720"/>
      </w:pPr>
      <w:rPr>
        <w:u w:val="none"/>
      </w:rPr>
    </w:lvl>
    <w:lvl w:ilvl="7">
      <w:start w:val="0"/>
      <w:numFmt w:val="bullet"/>
      <w:lvlText w:val="•"/>
      <w:lvlJc w:val="left"/>
      <w:pPr>
        <w:ind w:left="7284" w:hanging="720"/>
      </w:pPr>
      <w:rPr>
        <w:u w:val="none"/>
      </w:rPr>
    </w:lvl>
    <w:lvl w:ilvl="8">
      <w:start w:val="0"/>
      <w:numFmt w:val="bullet"/>
      <w:lvlText w:val="•"/>
      <w:lvlJc w:val="left"/>
      <w:pPr>
        <w:ind w:left="8216" w:hanging="72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505" w:hanging="165"/>
      </w:pPr>
      <w:rPr>
        <w:u w:val="none"/>
      </w:rPr>
    </w:lvl>
    <w:lvl w:ilvl="1">
      <w:start w:val="1"/>
      <w:numFmt w:val="decimal"/>
      <w:lvlText w:val="%2."/>
      <w:lvlJc w:val="left"/>
      <w:pPr>
        <w:ind w:left="760" w:hanging="420"/>
      </w:pPr>
      <w:rPr>
        <w:u w:val="none"/>
      </w:rPr>
    </w:lvl>
    <w:lvl w:ilvl="2">
      <w:start w:val="0"/>
      <w:numFmt w:val="bullet"/>
      <w:lvlText w:val="•"/>
      <w:lvlJc w:val="left"/>
      <w:pPr>
        <w:ind w:left="1795" w:hanging="420"/>
      </w:pPr>
      <w:rPr>
        <w:u w:val="none"/>
      </w:rPr>
    </w:lvl>
    <w:lvl w:ilvl="3">
      <w:start w:val="0"/>
      <w:numFmt w:val="bullet"/>
      <w:lvlText w:val="•"/>
      <w:lvlJc w:val="left"/>
      <w:pPr>
        <w:ind w:left="2831" w:hanging="420"/>
      </w:pPr>
      <w:rPr>
        <w:u w:val="none"/>
      </w:rPr>
    </w:lvl>
    <w:lvl w:ilvl="4">
      <w:start w:val="0"/>
      <w:numFmt w:val="bullet"/>
      <w:lvlText w:val="•"/>
      <w:lvlJc w:val="left"/>
      <w:pPr>
        <w:ind w:left="3866" w:hanging="420"/>
      </w:pPr>
      <w:rPr>
        <w:u w:val="none"/>
      </w:rPr>
    </w:lvl>
    <w:lvl w:ilvl="5">
      <w:start w:val="0"/>
      <w:numFmt w:val="bullet"/>
      <w:lvlText w:val="•"/>
      <w:lvlJc w:val="left"/>
      <w:pPr>
        <w:ind w:left="4902" w:hanging="420"/>
      </w:pPr>
      <w:rPr>
        <w:u w:val="none"/>
      </w:rPr>
    </w:lvl>
    <w:lvl w:ilvl="6">
      <w:start w:val="0"/>
      <w:numFmt w:val="bullet"/>
      <w:lvlText w:val="•"/>
      <w:lvlJc w:val="left"/>
      <w:pPr>
        <w:ind w:left="5937" w:hanging="420"/>
      </w:pPr>
      <w:rPr>
        <w:u w:val="none"/>
      </w:rPr>
    </w:lvl>
    <w:lvl w:ilvl="7">
      <w:start w:val="0"/>
      <w:numFmt w:val="bullet"/>
      <w:lvlText w:val="•"/>
      <w:lvlJc w:val="left"/>
      <w:pPr>
        <w:ind w:left="6973" w:hanging="420"/>
      </w:pPr>
      <w:rPr>
        <w:u w:val="none"/>
      </w:rPr>
    </w:lvl>
    <w:lvl w:ilvl="8">
      <w:start w:val="0"/>
      <w:numFmt w:val="bullet"/>
      <w:lvlText w:val="•"/>
      <w:lvlJc w:val="left"/>
      <w:pPr>
        <w:ind w:left="8008" w:hanging="4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3" w:hanging="1651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l-PL"/>
    </w:rPr>
  </w:style>
  <w:style w:type="paragraph" w:styleId="BodyText">
    <w:name w:val="Body Text"/>
    <w:basedOn w:val="Normal"/>
    <w:uiPriority w:val="1"/>
    <w:qFormat w:val="1"/>
    <w:pPr>
      <w:spacing w:before="2"/>
      <w:ind w:left="760" w:hanging="420"/>
    </w:pPr>
    <w:rPr>
      <w:rFonts w:ascii="Calibri" w:cs="Calibri" w:eastAsia="Calibri" w:hAnsi="Calibri"/>
      <w:sz w:val="22"/>
      <w:szCs w:val="22"/>
      <w:lang w:bidi="ar-SA" w:eastAsia="en-US" w:val="pl-PL"/>
    </w:rPr>
  </w:style>
  <w:style w:type="paragraph" w:styleId="Heading1">
    <w:name w:val="Heading 1"/>
    <w:basedOn w:val="Normal"/>
    <w:uiPriority w:val="1"/>
    <w:qFormat w:val="1"/>
    <w:pPr>
      <w:ind w:left="503" w:hanging="1651"/>
      <w:outlineLvl w:val="1"/>
    </w:pPr>
    <w:rPr>
      <w:rFonts w:ascii="Calibri" w:cs="Calibri" w:eastAsia="Calibri" w:hAnsi="Calibri"/>
      <w:b w:val="1"/>
      <w:bCs w:val="1"/>
      <w:sz w:val="22"/>
      <w:szCs w:val="22"/>
      <w:lang w:bidi="ar-SA" w:eastAsia="en-US" w:val="pl-PL"/>
    </w:rPr>
  </w:style>
  <w:style w:type="paragraph" w:styleId="ListParagraph">
    <w:name w:val="List Paragraph"/>
    <w:basedOn w:val="Normal"/>
    <w:uiPriority w:val="1"/>
    <w:qFormat w:val="1"/>
    <w:pPr>
      <w:ind w:left="760" w:hanging="420"/>
    </w:pPr>
    <w:rPr>
      <w:rFonts w:ascii="Calibri" w:cs="Calibri" w:eastAsia="Calibri" w:hAnsi="Calibri"/>
      <w:lang w:bidi="ar-SA" w:eastAsia="en-US" w:val="pl-PL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wrosnij@wcrs.pl" TargetMode="External"/><Relationship Id="rId9" Type="http://schemas.openxmlformats.org/officeDocument/2006/relationships/hyperlink" Target="http://www.wcrs.pl/wrosnij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wcrs.pl/wrosnij" TargetMode="External"/><Relationship Id="rId8" Type="http://schemas.openxmlformats.org/officeDocument/2006/relationships/hyperlink" Target="http://www.wcrs.pl/wros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GeBiTggG3sPdVB3plb7Lyu30A==">CgMxLjA4AHIhMS01ZkgxbFAtZktYOVo0cUpVSkhpOERzVlp6b21PSXE2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2025-03-18T18:54:07Z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2025-03-18T00:00:00Z</vt:filetime>
  </property>
</Properties>
</file>